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647825" cy="988378"/>
            <wp:effectExtent b="0" l="0" r="0" t="0"/>
            <wp:docPr descr="C:\Users\Usuario\Downloads\Logo Conselho Municipal de Educação CME (3).jpg" id="2095568842" name="image1.jpg"/>
            <a:graphic>
              <a:graphicData uri="http://schemas.openxmlformats.org/drawingml/2006/picture">
                <pic:pic>
                  <pic:nvPicPr>
                    <pic:cNvPr descr="C:\Users\Usuario\Downloads\Logo Conselho Municipal de Educação CME (3).jpg" id="0" name="image1.jpg"/>
                    <pic:cNvPicPr preferRelativeResize="0"/>
                  </pic:nvPicPr>
                  <pic:blipFill>
                    <a:blip r:embed="rId7"/>
                    <a:srcRect b="5223" l="10574" r="1027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883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bookmarkStart w:colFirst="0" w:colLast="0" w:name="_heading=h.wpfk1yu23jjy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PARECER CME- Nº 01/2025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bookmarkStart w:colFirst="0" w:colLast="0" w:name="_heading=h.yhmvws9afnx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3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Autoriza a parceria com o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Serviço Nacional de Aprendizagem Comercial do estado do Rio Grande do Sul – Senac RS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a oferta de oficinas de componentes diversificados nas Escolas Municipais de Ensino Fundamental São Vicente de Paulo, São João Batista e Acácio Antônio Vieira</w:t>
      </w:r>
    </w:p>
    <w:p w:rsidR="00000000" w:rsidDel="00000000" w:rsidP="00000000" w:rsidRDefault="00000000" w:rsidRPr="00000000" w14:paraId="00000005">
      <w:pPr>
        <w:ind w:left="283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9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– RELATÓRIO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1069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HISTÓRICO</w:t>
      </w:r>
    </w:p>
    <w:p w:rsidR="00000000" w:rsidDel="00000000" w:rsidP="00000000" w:rsidRDefault="00000000" w:rsidRPr="00000000" w14:paraId="00000008">
      <w:pPr>
        <w:spacing w:after="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Secretaria Municipal de Educação encaminhou o Ofício nº 027/2025, solicitando a autorização de parceria com o Senac-RS para a oferta de componentes diversificados nas Escolas Municipais de Ensino Fundamental São Vicente de Paulo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localizada na Localidade Colônia Antão Farias, Escola Acácio Antônio Vieira, localizada no Fundo do Formigueiro e Escola Municipal São João Batista, localizada no Cerro do Formigueiro, interior do município, mantidas pelo poder público municipal, com atendimento às crianças de Ensino Fundamental I. 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 parceria visa atender ao público do 1º ao 5º com a oferta das seguintes componentes:</w:t>
      </w:r>
    </w:p>
    <w:p w:rsidR="00000000" w:rsidDel="00000000" w:rsidP="00000000" w:rsidRDefault="00000000" w:rsidRPr="00000000" w14:paraId="0000000B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Escola Municipal de Ensino Fundamental São João Batista</w:t>
      </w:r>
    </w:p>
    <w:tbl>
      <w:tblPr>
        <w:tblStyle w:val="Table1"/>
        <w:tblW w:w="849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3"/>
        <w:gridCol w:w="1923"/>
        <w:gridCol w:w="1293"/>
        <w:gridCol w:w="1701"/>
        <w:gridCol w:w="1269"/>
        <w:tblGridChange w:id="0">
          <w:tblGrid>
            <w:gridCol w:w="2313"/>
            <w:gridCol w:w="1923"/>
            <w:gridCol w:w="1293"/>
            <w:gridCol w:w="1701"/>
            <w:gridCol w:w="12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Oficinas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Anos atendidos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Horário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Parceiro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wnbiua7z73pe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Jogos Matemáticos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ao 5º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terça-feira e quarta-feira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12:45h às 14:45 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Sesc Senac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Educação financeira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ao 5º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terça-feira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12:45h às 14:45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Sesc Senac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mg1hfzcyqqic" w:id="3"/>
            <w:bookmarkEnd w:id="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Informática Kids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ao 5º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quarta-feira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12:45h às 14:45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Sesc Senac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Cultura Maker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ao 5º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quinta-feira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12:45h às 14:45 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Sesc Senac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Literatura e Jogos Teatrais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ao 5º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quinta-feira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12:45h às 14:45 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Sesc Senac</w:t>
            </w:r>
          </w:p>
        </w:tc>
      </w:tr>
    </w:tbl>
    <w:p w:rsidR="00000000" w:rsidDel="00000000" w:rsidP="00000000" w:rsidRDefault="00000000" w:rsidRPr="00000000" w14:paraId="0000002A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Nas segundas-feiras e sextas-feiras reforço escolar com as professoras da Escola.</w:t>
      </w:r>
    </w:p>
    <w:p w:rsidR="00000000" w:rsidDel="00000000" w:rsidP="00000000" w:rsidRDefault="00000000" w:rsidRPr="00000000" w14:paraId="0000002B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Escola Municipal de Ensino Fundamental Acácio Antônio Vieira</w:t>
      </w:r>
    </w:p>
    <w:tbl>
      <w:tblPr>
        <w:tblStyle w:val="Table2"/>
        <w:tblW w:w="849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3"/>
        <w:gridCol w:w="1923"/>
        <w:gridCol w:w="1434"/>
        <w:gridCol w:w="1560"/>
        <w:gridCol w:w="1269"/>
        <w:tblGridChange w:id="0">
          <w:tblGrid>
            <w:gridCol w:w="2313"/>
            <w:gridCol w:w="1923"/>
            <w:gridCol w:w="1434"/>
            <w:gridCol w:w="1560"/>
            <w:gridCol w:w="12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Oficinas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Anos atendidos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Horário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Parceiro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Jogos Matemáticos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ao 5º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quarta-feira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13h às 17h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Sesc Senac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Educação financeira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ao 5º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quarta-feira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13h às 17h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Sesc Senac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Cultura Maker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ao 5º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terça-feira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13h às 17h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Sesc Senac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Literatura e Jogos Teatrais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ao 5º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terça-feira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13h às 17h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Sesc Senac</w:t>
            </w:r>
          </w:p>
        </w:tc>
      </w:tr>
    </w:tbl>
    <w:p w:rsidR="00000000" w:rsidDel="00000000" w:rsidP="00000000" w:rsidRDefault="00000000" w:rsidRPr="00000000" w14:paraId="00000045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Nas quintas-feiras reforço escolar com as professoras da Escola.</w:t>
      </w:r>
    </w:p>
    <w:p w:rsidR="00000000" w:rsidDel="00000000" w:rsidP="00000000" w:rsidRDefault="00000000" w:rsidRPr="00000000" w14:paraId="00000046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Escola Municipal de Ensino Fundamental São Vicente de Paulo</w:t>
      </w:r>
    </w:p>
    <w:tbl>
      <w:tblPr>
        <w:tblStyle w:val="Table3"/>
        <w:tblW w:w="849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3"/>
        <w:gridCol w:w="1923"/>
        <w:gridCol w:w="1434"/>
        <w:gridCol w:w="1560"/>
        <w:gridCol w:w="1269"/>
        <w:tblGridChange w:id="0">
          <w:tblGrid>
            <w:gridCol w:w="2313"/>
            <w:gridCol w:w="1923"/>
            <w:gridCol w:w="1434"/>
            <w:gridCol w:w="1560"/>
            <w:gridCol w:w="12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Oficinas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Anos atendidos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Horário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Parceiro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Jogos Matemáticos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ao 5º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quarta-feira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8h às 12h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Sesc Senac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Educação financeira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ao 5º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quarta-feira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8h às 12h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Sesc Senac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Cultura Maker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ao 5º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terça-feira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8h às 12h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Sesc Senac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Literatura e Jogos Teatrais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1º ao 5º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terça-feira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8h às 12h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Sesc Senac</w:t>
            </w:r>
          </w:p>
        </w:tc>
      </w:tr>
    </w:tbl>
    <w:p w:rsidR="00000000" w:rsidDel="00000000" w:rsidP="00000000" w:rsidRDefault="00000000" w:rsidRPr="00000000" w14:paraId="00000060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Nas quintas-feiras reforço escolar com as professoras da Escola.</w:t>
      </w:r>
    </w:p>
    <w:p w:rsidR="00000000" w:rsidDel="00000000" w:rsidP="00000000" w:rsidRDefault="00000000" w:rsidRPr="00000000" w14:paraId="00000061">
      <w:pPr>
        <w:spacing w:after="0" w:before="24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Trata-se de escolas  de período integral que atendem a Educação Infantil (crianças pequenas) e Ensino Fundamental I. Desta forma, as atividades s</w:t>
      </w:r>
      <w:r w:rsidDel="00000000" w:rsidR="00000000" w:rsidRPr="00000000">
        <w:rPr>
          <w:rFonts w:ascii="Arial" w:cs="Arial" w:eastAsia="Arial" w:hAnsi="Arial"/>
          <w:rtl w:val="0"/>
        </w:rPr>
        <w:t xml:space="preserve">erão</w:t>
      </w:r>
      <w:r w:rsidDel="00000000" w:rsidR="00000000" w:rsidRPr="00000000">
        <w:rPr>
          <w:rFonts w:ascii="Arial" w:cs="Arial" w:eastAsia="Arial" w:hAnsi="Arial"/>
          <w:rtl w:val="0"/>
        </w:rPr>
        <w:t xml:space="preserve"> desenvolvidas dentro do período letivo, horário de funcionamento escolar,  integrada e  articulada com a parte diversificada do currículo, assim sendo, foi solicitada a análise do tema por este conselho.</w:t>
      </w:r>
    </w:p>
    <w:p w:rsidR="00000000" w:rsidDel="00000000" w:rsidP="00000000" w:rsidRDefault="00000000" w:rsidRPr="00000000" w14:paraId="00000062">
      <w:pPr>
        <w:spacing w:after="0" w:line="24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ANÁLISE DA MATÉRIA:</w:t>
      </w:r>
    </w:p>
    <w:p w:rsidR="00000000" w:rsidDel="00000000" w:rsidP="00000000" w:rsidRDefault="00000000" w:rsidRPr="00000000" w14:paraId="00000064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ind w:firstLine="709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Conselho Municipal de Educação de Formigueiro/RS, no uso de suas atribuições legais que lhe confere a Constituição Federal, de 22 de setembro de 1988; a Lei de Diretrizes e Bases da Educação –LDBEN, nº 9394, de 20 de dezembro de 1996; a Lei Municipal nº 831/1997, que cria o Conselho Municipal de Educação e a Lei Municipal nº 919/1999, que institui Sistema Municipal de Ensino de Formigueiro, analisou a solicitação da Secretaria Municipal de Educação, Cultura, Desportos e Eventos –</w:t>
      </w:r>
      <w:r w:rsidDel="00000000" w:rsidR="00000000" w:rsidRPr="00000000">
        <w:rPr>
          <w:rFonts w:ascii="Arial" w:cs="Arial" w:eastAsia="Arial" w:hAnsi="Arial"/>
          <w:rtl w:val="0"/>
        </w:rPr>
        <w:t xml:space="preserve">SMECDE</w:t>
      </w:r>
      <w:r w:rsidDel="00000000" w:rsidR="00000000" w:rsidRPr="00000000">
        <w:rPr>
          <w:rFonts w:ascii="Arial" w:cs="Arial" w:eastAsia="Arial" w:hAnsi="Arial"/>
          <w:rtl w:val="0"/>
        </w:rPr>
        <w:t xml:space="preserve">- conforme determina o Parecer CME nº 01/1999, de 20 de dezembro de 1999, que fixa normas para o credenciamento, autorização e supervisão de funcionamento das instituições que ofertam as diferentes etapas da Educação Básica e suas Modalidades no Sistema Municipal de Formigueiro - RS.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line="360" w:lineRule="auto"/>
        <w:ind w:firstLine="709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 RELAÇÃO AO TEMPO INTEGRAL:</w:t>
      </w:r>
    </w:p>
    <w:p w:rsidR="00000000" w:rsidDel="00000000" w:rsidP="00000000" w:rsidRDefault="00000000" w:rsidRPr="00000000" w14:paraId="00000068">
      <w:pPr>
        <w:ind w:left="21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Considerando a </w:t>
      </w:r>
      <w:r w:rsidDel="00000000" w:rsidR="00000000" w:rsidRPr="00000000">
        <w:rPr>
          <w:rFonts w:ascii="Arial" w:cs="Arial" w:eastAsia="Arial" w:hAnsi="Arial"/>
          <w:rtl w:val="0"/>
        </w:rPr>
        <w:t xml:space="preserve">Constituição Federal de 1988, em especial o Artigo 205;</w:t>
      </w:r>
    </w:p>
    <w:p w:rsidR="00000000" w:rsidDel="00000000" w:rsidP="00000000" w:rsidRDefault="00000000" w:rsidRPr="00000000" w14:paraId="00000069">
      <w:pPr>
        <w:widowControl w:val="0"/>
        <w:spacing w:after="0" w:before="251" w:line="360" w:lineRule="auto"/>
        <w:ind w:left="213" w:right="22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a </w:t>
      </w:r>
      <w:r w:rsidDel="00000000" w:rsidR="00000000" w:rsidRPr="00000000">
        <w:rPr>
          <w:rFonts w:ascii="Arial" w:cs="Arial" w:eastAsia="Arial" w:hAnsi="Arial"/>
          <w:rtl w:val="0"/>
        </w:rPr>
        <w:t xml:space="preserve">Lei Federal nº 9.394, de 20 de dezembro de 1996, que estabelece as Diretrizes e Bases da Educação Nacional (LDBEN);</w:t>
      </w:r>
    </w:p>
    <w:p w:rsidR="00000000" w:rsidDel="00000000" w:rsidP="00000000" w:rsidRDefault="00000000" w:rsidRPr="00000000" w14:paraId="0000006A">
      <w:pPr>
        <w:widowControl w:val="0"/>
        <w:spacing w:after="0" w:before="105" w:line="360" w:lineRule="auto"/>
        <w:ind w:left="213" w:right="22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a </w:t>
      </w:r>
      <w:r w:rsidDel="00000000" w:rsidR="00000000" w:rsidRPr="00000000">
        <w:rPr>
          <w:rFonts w:ascii="Arial" w:cs="Arial" w:eastAsia="Arial" w:hAnsi="Arial"/>
          <w:rtl w:val="0"/>
        </w:rPr>
        <w:t xml:space="preserve">Resolução CNE/CEB nº 4, de 13 de julho de 2010 , que define Diretrizes Curriculares Nacionais Gerais para a Educação Básica;</w:t>
      </w:r>
    </w:p>
    <w:p w:rsidR="00000000" w:rsidDel="00000000" w:rsidP="00000000" w:rsidRDefault="00000000" w:rsidRPr="00000000" w14:paraId="0000006B">
      <w:pPr>
        <w:widowControl w:val="0"/>
        <w:spacing w:after="0" w:before="106" w:line="360" w:lineRule="auto"/>
        <w:ind w:left="213" w:right="228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a </w:t>
      </w:r>
      <w:r w:rsidDel="00000000" w:rsidR="00000000" w:rsidRPr="00000000">
        <w:rPr>
          <w:rFonts w:ascii="Arial" w:cs="Arial" w:eastAsia="Arial" w:hAnsi="Arial"/>
          <w:rtl w:val="0"/>
        </w:rPr>
        <w:t xml:space="preserve">Lei Federal nº 13.005, de 25 de junho de 2014, que aprova o Plano Nacional de Educação, em especial a Meta 6, que estabelece oferecer a educação em tempo integral em, no mínimo, 50% (cinquenta por cento) das escolas públicas, de forma a atender, pelo menos, 25% (vinte e cinco por cento) das crianças e dos(as) estudantes da Educação Básica;</w:t>
      </w:r>
    </w:p>
    <w:p w:rsidR="00000000" w:rsidDel="00000000" w:rsidP="00000000" w:rsidRDefault="00000000" w:rsidRPr="00000000" w14:paraId="0000006C">
      <w:pPr>
        <w:widowControl w:val="0"/>
        <w:spacing w:after="0" w:before="105" w:line="360" w:lineRule="auto"/>
        <w:ind w:left="213" w:right="218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a </w:t>
      </w:r>
      <w:r w:rsidDel="00000000" w:rsidR="00000000" w:rsidRPr="00000000">
        <w:rPr>
          <w:rFonts w:ascii="Arial" w:cs="Arial" w:eastAsia="Arial" w:hAnsi="Arial"/>
          <w:rtl w:val="0"/>
        </w:rPr>
        <w:t xml:space="preserve">Resolução CNE/CEB nº 2, de 22 de dezembro de 2017, que institui e orienta a implantação da Base Nacional Comum Curricular, a ser respeitada obrigatoriamente ao longo das etapas e respectivas modalidades no âmbito da Educação Básica;</w:t>
      </w:r>
    </w:p>
    <w:p w:rsidR="00000000" w:rsidDel="00000000" w:rsidP="00000000" w:rsidRDefault="00000000" w:rsidRPr="00000000" w14:paraId="0000006D">
      <w:pPr>
        <w:widowControl w:val="0"/>
        <w:spacing w:after="0" w:before="106" w:line="360" w:lineRule="auto"/>
        <w:ind w:left="213" w:right="225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a </w:t>
      </w:r>
      <w:r w:rsidDel="00000000" w:rsidR="00000000" w:rsidRPr="00000000">
        <w:rPr>
          <w:rFonts w:ascii="Arial" w:cs="Arial" w:eastAsia="Arial" w:hAnsi="Arial"/>
          <w:rtl w:val="0"/>
        </w:rPr>
        <w:t xml:space="preserve">Resolução CEEd/RS nº 345, de 12 de dezembro de 2018, que institui e orienta a implementação do Referencial Curricular Gaúcho – RCG, elaborado em Regime de Colaboração, a ser respeitado obrigatoriamente ao longo das etapas, e respectivas modalidades, da Educação Infantil e do Ensino Fundamental, que embasa o currículo das unidades escolares, no território estadual;</w:t>
      </w:r>
    </w:p>
    <w:p w:rsidR="00000000" w:rsidDel="00000000" w:rsidP="00000000" w:rsidRDefault="00000000" w:rsidRPr="00000000" w14:paraId="0000006E">
      <w:pPr>
        <w:widowControl w:val="0"/>
        <w:spacing w:after="0" w:before="105" w:line="360" w:lineRule="auto"/>
        <w:ind w:left="213" w:right="229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a </w:t>
      </w:r>
      <w:r w:rsidDel="00000000" w:rsidR="00000000" w:rsidRPr="00000000">
        <w:rPr>
          <w:rFonts w:ascii="Arial" w:cs="Arial" w:eastAsia="Arial" w:hAnsi="Arial"/>
          <w:rtl w:val="0"/>
        </w:rPr>
        <w:t xml:space="preserve">Lei Federal nº 14.640, de 31 de julho de 2023, que institui o Programa Escola em Tempo Integral; e altera a Lei nº 11.273, de 6 de fevereiro de 2006, a Lei nº 13.415, de 16 de fevereiro de 2017, e a Lei nº 14.172, de 10 de junho de 2021;</w:t>
      </w: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7024688</wp:posOffset>
                </wp:positionH>
                <wp:positionV relativeFrom="page">
                  <wp:posOffset>3318192</wp:posOffset>
                </wp:positionV>
                <wp:extent cx="276860" cy="6780530"/>
                <wp:effectExtent b="0" l="0" r="0" t="0"/>
                <wp:wrapNone/>
                <wp:docPr id="209556883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5400000">
                          <a:off x="1960498" y="3646333"/>
                          <a:ext cx="677100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40" w:line="258.99999618530273"/>
                              <w:ind w:left="20" w:right="0" w:firstLine="2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7024688</wp:posOffset>
                </wp:positionH>
                <wp:positionV relativeFrom="page">
                  <wp:posOffset>3318192</wp:posOffset>
                </wp:positionV>
                <wp:extent cx="276860" cy="6780530"/>
                <wp:effectExtent b="0" l="0" r="0" t="0"/>
                <wp:wrapNone/>
                <wp:docPr id="209556883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6780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after="0" w:before="100" w:line="360" w:lineRule="auto"/>
        <w:ind w:left="213" w:right="23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a </w:t>
      </w:r>
      <w:r w:rsidDel="00000000" w:rsidR="00000000" w:rsidRPr="00000000">
        <w:rPr>
          <w:rFonts w:ascii="Arial" w:cs="Arial" w:eastAsia="Arial" w:hAnsi="Arial"/>
          <w:rtl w:val="0"/>
        </w:rPr>
        <w:t xml:space="preserve">Portaria nº 1.495, de 02 de agosto de 2023, que dispõe sobre a adesão e a pactuação de metas para a ampliação de matrículas em tempo integral no âmbito do Programa Escola em Tempo Integral e dá outras providências.</w:t>
      </w:r>
    </w:p>
    <w:p w:rsidR="00000000" w:rsidDel="00000000" w:rsidP="00000000" w:rsidRDefault="00000000" w:rsidRPr="00000000" w14:paraId="00000070">
      <w:pPr>
        <w:widowControl w:val="0"/>
        <w:spacing w:after="0" w:before="105" w:line="360" w:lineRule="auto"/>
        <w:ind w:left="213" w:right="223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a </w:t>
      </w:r>
      <w:r w:rsidDel="00000000" w:rsidR="00000000" w:rsidRPr="00000000">
        <w:rPr>
          <w:rFonts w:ascii="Arial" w:cs="Arial" w:eastAsia="Arial" w:hAnsi="Arial"/>
          <w:rtl w:val="0"/>
        </w:rPr>
        <w:t xml:space="preserve">Indicação CME n° 01/2023, orienta a mantenedora das instituições pertencentes ao Sistema Municipal de Ensino de Formigueiro para a oferta de Educação Integral em Tempo Integral;</w:t>
      </w:r>
    </w:p>
    <w:p w:rsidR="00000000" w:rsidDel="00000000" w:rsidP="00000000" w:rsidRDefault="00000000" w:rsidRPr="00000000" w14:paraId="00000071">
      <w:pPr>
        <w:ind w:left="21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Considerando o  </w:t>
      </w: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7024688</wp:posOffset>
                </wp:positionH>
                <wp:positionV relativeFrom="page">
                  <wp:posOffset>3318192</wp:posOffset>
                </wp:positionV>
                <wp:extent cx="276860" cy="6780530"/>
                <wp:effectExtent b="0" l="0" r="0" t="0"/>
                <wp:wrapNone/>
                <wp:docPr id="209556884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-5400000">
                          <a:off x="1960498" y="3646333"/>
                          <a:ext cx="677100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5" w:line="258.99999618530273"/>
                              <w:ind w:left="20" w:right="0" w:firstLine="2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7024688</wp:posOffset>
                </wp:positionH>
                <wp:positionV relativeFrom="page">
                  <wp:posOffset>3318192</wp:posOffset>
                </wp:positionV>
                <wp:extent cx="276860" cy="6780530"/>
                <wp:effectExtent b="0" l="0" r="0" t="0"/>
                <wp:wrapNone/>
                <wp:docPr id="20955688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6780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O Decreto nº 4.973/2024,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 18 de março de 2024, que </w:t>
      </w:r>
    </w:p>
    <w:p w:rsidR="00000000" w:rsidDel="00000000" w:rsidP="00000000" w:rsidRDefault="00000000" w:rsidRPr="00000000" w14:paraId="00000072">
      <w:pPr>
        <w:ind w:left="21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determina a oferta de Educação Integral em Escolas de Tempo Integral na Rede </w:t>
      </w:r>
    </w:p>
    <w:p w:rsidR="00000000" w:rsidDel="00000000" w:rsidP="00000000" w:rsidRDefault="00000000" w:rsidRPr="00000000" w14:paraId="00000073">
      <w:pPr>
        <w:ind w:left="21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Municipal de Ensino de Formigueiro</w:t>
      </w:r>
    </w:p>
    <w:p w:rsidR="00000000" w:rsidDel="00000000" w:rsidP="00000000" w:rsidRDefault="00000000" w:rsidRPr="00000000" w14:paraId="00000074">
      <w:pPr>
        <w:widowControl w:val="0"/>
        <w:spacing w:after="0" w:before="104" w:line="360" w:lineRule="auto"/>
        <w:ind w:left="213" w:right="222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a Educação Integral é uma concepção que busca garantir o desenvolvimento integral da criança e do estudante em todas as suas dimensões – intelectual, física, emocional, social e cultural, através do desenvolvimento das competências e habilidades previstas na Base Nacional Comum Curricular (BNCC), no Referencial Curricular Gaúcho (RCG) e no Documento do Território Municipal. Podendo, inclusive, ocorrer em oferta de turno    parcial;</w:t>
      </w:r>
    </w:p>
    <w:p w:rsidR="00000000" w:rsidDel="00000000" w:rsidP="00000000" w:rsidRDefault="00000000" w:rsidRPr="00000000" w14:paraId="00000075">
      <w:pPr>
        <w:widowControl w:val="0"/>
        <w:spacing w:after="0" w:before="107" w:line="360" w:lineRule="auto"/>
        <w:ind w:left="213" w:right="229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a BNCC traz como propósito da Educação Integral: [...] a educação integral tem como propósito a formação e o desenvolvimento global dos estudantes, compreendendo “a complexidade e a não linearidade desse desenvolvimento, rompendo com visões reducionistas que privilegiam ou a dimensão intelectual (cognitiva) ou a dimensão afetiva” (BRASIL, 2017, p. 14);</w:t>
      </w:r>
    </w:p>
    <w:p w:rsidR="00000000" w:rsidDel="00000000" w:rsidP="00000000" w:rsidRDefault="00000000" w:rsidRPr="00000000" w14:paraId="00000076">
      <w:pPr>
        <w:widowControl w:val="0"/>
        <w:spacing w:after="0" w:before="105" w:line="360" w:lineRule="auto"/>
        <w:ind w:left="213" w:right="224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rtl w:val="0"/>
        </w:rPr>
        <w:t xml:space="preserve">que, Independentemente da duração da jornada escolar, a educação integral, segundo a BNCC, se refere aos processos educativos que promovam aprendizagens sintonizadas com as necessidades, as possibilidades e os interesses das criança/estudantes e, também, com os desafios da sociedade contemporânea, uma vez que a Educação Básica deve visar a formação e o desenvolvimento humano global, o que implica compreender a complexidade e a não linearidade desse desenvolvimento, rompendo com visões reducionistas que privilegiam ou a dimensão intelectual (cognitiva) ou a dimensão afetiva.</w:t>
      </w:r>
    </w:p>
    <w:p w:rsidR="00000000" w:rsidDel="00000000" w:rsidP="00000000" w:rsidRDefault="00000000" w:rsidRPr="00000000" w14:paraId="00000077">
      <w:pPr>
        <w:widowControl w:val="0"/>
        <w:spacing w:after="0" w:before="106" w:line="360" w:lineRule="auto"/>
        <w:ind w:left="213" w:right="224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Significa, ainda, assumir uma visão plural, singular e integral da criança, do adolescente, do jovem e do adulto – considerando-os como sujeitos de aprendizagem – e promover uma educação voltada ao seu acolhimento, reconhecimento e desenvolvimento pleno, nas suas singularidades e diversidades.</w:t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7024688</wp:posOffset>
                </wp:positionH>
                <wp:positionV relativeFrom="page">
                  <wp:posOffset>3318192</wp:posOffset>
                </wp:positionV>
                <wp:extent cx="276860" cy="6780530"/>
                <wp:effectExtent b="0" l="0" r="0" t="0"/>
                <wp:wrapNone/>
                <wp:docPr id="209556884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-5400000">
                          <a:off x="1960498" y="3646333"/>
                          <a:ext cx="677100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40" w:line="258.99999618530273"/>
                              <w:ind w:left="20" w:right="0" w:firstLine="2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7024688</wp:posOffset>
                </wp:positionH>
                <wp:positionV relativeFrom="page">
                  <wp:posOffset>3318192</wp:posOffset>
                </wp:positionV>
                <wp:extent cx="276860" cy="6780530"/>
                <wp:effectExtent b="0" l="0" r="0" t="0"/>
                <wp:wrapNone/>
                <wp:docPr id="20955688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6780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color w:val="dd7e6b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a escola, como espaço de aprendizagem e de democracia inclusiva, deve se fortalecer na prática coercitiva de não discriminação, não preconceito e respeito às diferenças e diversidades. (BRASIL, 2017, p. 14);</w:t>
      </w:r>
    </w:p>
    <w:p w:rsidR="00000000" w:rsidDel="00000000" w:rsidP="00000000" w:rsidRDefault="00000000" w:rsidRPr="00000000" w14:paraId="0000007A">
      <w:pPr>
        <w:widowControl w:val="0"/>
        <w:spacing w:after="0" w:before="105" w:line="355" w:lineRule="auto"/>
        <w:ind w:left="213" w:right="225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a Educação em Tempo Integral visa o desenvolvimento integral da criança/estudante, numa jornada escolar ampliada e com currículo adequado para tal;</w:t>
      </w:r>
    </w:p>
    <w:p w:rsidR="00000000" w:rsidDel="00000000" w:rsidP="00000000" w:rsidRDefault="00000000" w:rsidRPr="00000000" w14:paraId="0000007B">
      <w:pPr>
        <w:widowControl w:val="0"/>
        <w:spacing w:after="0" w:before="110" w:line="360" w:lineRule="auto"/>
        <w:ind w:left="213" w:right="228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as escolas em Tempo Integral possuem o princípio de oferecer às crianças/estudantes oportunidade de se desenvolver de maneira plena no exercício de suas mais diversas atividades individuais e sociais, conforme a Meta 6 do PNE - 2014/2024;</w:t>
      </w:r>
    </w:p>
    <w:p w:rsidR="00000000" w:rsidDel="00000000" w:rsidP="00000000" w:rsidRDefault="00000000" w:rsidRPr="00000000" w14:paraId="0000007C">
      <w:pPr>
        <w:widowControl w:val="0"/>
        <w:spacing w:after="0" w:before="110" w:line="360" w:lineRule="auto"/>
        <w:ind w:left="213" w:right="228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0" w:before="105" w:line="360" w:lineRule="auto"/>
        <w:ind w:left="213" w:right="223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na escola em tempo integral, almeja-se que todos os espaços, não apenas as salas de aula/referência, tornem-se ambientes pedagógicos favoráveis à aprendizagem, às vivências e às experiências que aprofundem o desenvolvimento das competências e habilidades dos estudantes, através do trabalho pedagógico articulado e que valorize as potencialidades de cada um, contribuindo para sua formação integral;</w:t>
      </w:r>
    </w:p>
    <w:p w:rsidR="00000000" w:rsidDel="00000000" w:rsidP="00000000" w:rsidRDefault="00000000" w:rsidRPr="00000000" w14:paraId="0000007E">
      <w:pPr>
        <w:spacing w:after="0"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 RELAÇÃO AO SENAC:</w:t>
      </w:r>
    </w:p>
    <w:p w:rsidR="00000000" w:rsidDel="00000000" w:rsidP="00000000" w:rsidRDefault="00000000" w:rsidRPr="00000000" w14:paraId="0000007F">
      <w:pPr>
        <w:spacing w:after="0" w:before="24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que  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Decreto-Lei nº 8.621/1946 de criação do Serviço Nacional de Aprendizagem Comercial, bem como no Decreto nº 61.843, que aprova o Regulamento do Senac e orienta esta instituição para a realizar atividades educacionais voltadas para a Formação Profissional;</w:t>
      </w:r>
    </w:p>
    <w:p w:rsidR="00000000" w:rsidDel="00000000" w:rsidP="00000000" w:rsidRDefault="00000000" w:rsidRPr="00000000" w14:paraId="00000080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que </w:t>
      </w:r>
      <w:r w:rsidDel="00000000" w:rsidR="00000000" w:rsidRPr="00000000">
        <w:rPr>
          <w:rFonts w:ascii="Arial" w:cs="Arial" w:eastAsia="Arial" w:hAnsi="Arial"/>
          <w:rtl w:val="0"/>
        </w:rPr>
        <w:t xml:space="preserve">a Lei de Diretrizes e Bases da Educação – LDB, nº 9394, de 20 de dezembro de 1996, na redação dada pela Lei nº 11.741, de 16 de junho de 2008, em seu artigo 39, determina que “a educação profissional e tecnológica, no cumprimento dos objetivos da educação nacional, integra-se aos diferentes níveis e modalidades de educação e às dimensões do trabalho, da ciência e da tecnologia”; e,</w:t>
      </w:r>
    </w:p>
    <w:p w:rsidR="00000000" w:rsidDel="00000000" w:rsidP="00000000" w:rsidRDefault="00000000" w:rsidRPr="00000000" w14:paraId="00000081">
      <w:pPr>
        <w:spacing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que </w:t>
      </w:r>
      <w:r w:rsidDel="00000000" w:rsidR="00000000" w:rsidRPr="00000000">
        <w:rPr>
          <w:rFonts w:ascii="Arial" w:cs="Arial" w:eastAsia="Arial" w:hAnsi="Arial"/>
          <w:rtl w:val="0"/>
        </w:rPr>
        <w:t xml:space="preserve">o Conselho Nacional de Educação por meio da Resolução nº 1, de 5 de janeiro de 2021, que define as diretrizes curriculares nacionais gerais para a educação profissional e tecnologia, define esta como sendo a “modalidade educacional que perpassa todos os níveis da educação nacional, integrada às demais modalidades de educação e às dimensões do trabalho, da ciência, da cultura e da tecnologia, organizada por eixos tecnológicos, em consonância com a estrutura sócio-ocupacional do trabalho e as exigências da formação profissional nos diferentes níveis de desenvolvimento, observadas as leis e normas vigentes”.</w:t>
      </w:r>
    </w:p>
    <w:p w:rsidR="00000000" w:rsidDel="00000000" w:rsidP="00000000" w:rsidRDefault="00000000" w:rsidRPr="00000000" w14:paraId="00000082">
      <w:pPr>
        <w:spacing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 RELAÇÃO ENSINO FUNDAMENTAL:</w:t>
      </w:r>
    </w:p>
    <w:p w:rsidR="00000000" w:rsidDel="00000000" w:rsidP="00000000" w:rsidRDefault="00000000" w:rsidRPr="00000000" w14:paraId="00000083">
      <w:pPr>
        <w:spacing w:after="0" w:before="240" w:line="360" w:lineRule="auto"/>
        <w:ind w:firstLine="709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que </w:t>
      </w:r>
      <w:r w:rsidDel="00000000" w:rsidR="00000000" w:rsidRPr="00000000">
        <w:rPr>
          <w:rFonts w:ascii="Arial" w:cs="Arial" w:eastAsia="Arial" w:hAnsi="Arial"/>
          <w:rtl w:val="0"/>
        </w:rPr>
        <w:t xml:space="preserve">a Lei de Diretrizes e Bases da Educação – LDB, nº 9394, de 20 de dezembro de 1996, em seu artigo 8, define que “a União, os Estados, o Distrito Federal e os Municípios organizarão, em regime de colaboração, os respectivos sistemas de ensino” e o §2º do mesmo artigo, define que “os sistemas de ensino terão liberdade de organização nos termos desta Lei”;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360" w:lineRule="auto"/>
        <w:ind w:firstLine="709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que </w:t>
      </w:r>
      <w:r w:rsidDel="00000000" w:rsidR="00000000" w:rsidRPr="00000000">
        <w:rPr>
          <w:rFonts w:ascii="Arial" w:cs="Arial" w:eastAsia="Arial" w:hAnsi="Arial"/>
          <w:rtl w:val="0"/>
        </w:rPr>
        <w:t xml:space="preserve">a Lei de Diretrizes e Bases da Educação – LDB, nº 9394, de 20 de dezembro de 1996, em seu artigo 12, determina que “os estabelecimentos de ensino, respeitadas as normas comuns e as do seu sistema de ensino, terão a incumbência de elaborar e executar sua proposta pedagógica”;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360" w:lineRule="auto"/>
        <w:ind w:firstLine="709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que </w:t>
      </w:r>
      <w:r w:rsidDel="00000000" w:rsidR="00000000" w:rsidRPr="00000000">
        <w:rPr>
          <w:rFonts w:ascii="Arial" w:cs="Arial" w:eastAsia="Arial" w:hAnsi="Arial"/>
          <w:rtl w:val="0"/>
        </w:rPr>
        <w:t xml:space="preserve">o Conselho Nacional de Educação por meio da Resolução nº 7, de 14 de dezembro de 2010, que fixa Diretrizes Curriculares Nacionais para o Ensino Fundamental de 9 (nove) anos, em seu artigo 6, apregoa que “os sistemas de ensino e as escolas adotarão, como norteadores das políticas educativas e das ações pedagógicas, os seguintes princípios: II – Políticos: de reconhecimento dos direitos e deveres de cidadania, de respeito ao bem comum e à preservação do regime democrático e dos recursos ambientais; da busca da equidade no acesso à educação, à saúde, ao trabalho, aos bens culturais e outros benefícios (...)”;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360" w:lineRule="auto"/>
        <w:ind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que </w:t>
      </w:r>
      <w:r w:rsidDel="00000000" w:rsidR="00000000" w:rsidRPr="00000000">
        <w:rPr>
          <w:rFonts w:ascii="Arial" w:cs="Arial" w:eastAsia="Arial" w:hAnsi="Arial"/>
          <w:rtl w:val="0"/>
        </w:rPr>
        <w:t xml:space="preserve">o Conselho Nacional de Educação por meio da Resolução nº 7, de 14 de dezembro de 2010, que fixa Diretrizes Curriculares Nacionais para o Ensino Fundamental de 9 (nove) anos, em seu artigo 7, propõe que as propostas pedagógicas devem respeitar princípios éticos, políticos e estéticos, estando neste contemplados os direitos de cidadania, criatividade, ludicidade e de manifestações culturais, define que “de acordo com esses princípios, e em conformidade com o art. 22 e o artigo 32 da Lei nº 9.394/96, as propostas curriculares do Ensino Fundamental visam desenvolver o educando, assegurar-lhe a formação comum indispensável para o exercício da cidadania e fornecer-lhe os meios para progredir no trabalho e em estudos posteriores”;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87">
      <w:pPr>
        <w:spacing w:after="0" w:line="360" w:lineRule="auto"/>
        <w:ind w:firstLine="709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que </w:t>
      </w:r>
      <w:r w:rsidDel="00000000" w:rsidR="00000000" w:rsidRPr="00000000">
        <w:rPr>
          <w:rFonts w:ascii="Arial" w:cs="Arial" w:eastAsia="Arial" w:hAnsi="Arial"/>
          <w:rtl w:val="0"/>
        </w:rPr>
        <w:t xml:space="preserve">o Conselho Nacional de Educação por meio da Resolução nº 7, de 14 de dezembro de 2010, que fixa Diretrizes Curriculares Nacionais para o Ensino Fundamental de 9 (nove) anos, em seu artigo 11, parágrafo 3º, define que “os conteúdos curriculares que compõem a parte diversificada do currículo serão definidos pelos sistemas de ensino e pelas escolas, de modo a complementar e enriquecer o currículo, assegurando a contextualização dos conhecimentos escolares em face das diferentes realidades”.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firstLine="709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 – CONCLUSÃO</w:t>
      </w:r>
    </w:p>
    <w:p w:rsidR="00000000" w:rsidDel="00000000" w:rsidP="00000000" w:rsidRDefault="00000000" w:rsidRPr="00000000" w14:paraId="0000008A">
      <w:pPr>
        <w:spacing w:after="0" w:line="240" w:lineRule="auto"/>
        <w:ind w:left="78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Diante da análise minuciosa dos documentos apresentados, a Comissão de Legislação e Normas, por meio do Parecer CME Nº 001/2025, conclui favoravelmente à autorização da parceria entre a Secretaria Municipal de Educação, o Serviço Nacional de Aprendizagem Comercial do estado do Rio Grande do Sul – Senac RS para a oferta de oficinas de componentes diversificados nas Escolas Municipais de Tempo Integral,  São Vicente de Paulo, Acácio Antônio Vieira e São João Batista</w:t>
      </w:r>
    </w:p>
    <w:p w:rsidR="00000000" w:rsidDel="00000000" w:rsidP="00000000" w:rsidRDefault="00000000" w:rsidRPr="00000000" w14:paraId="0000008C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proposição visa atender aos estudantes do 1º ao 5º ano,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proporcionando os componentes de Jogos matemáticos, Educação financeira, Cultura Maker, literatura e jogos teatrais nas três escolas e Informática Kids apenas na EMEF São João Batista, durante os dias úteis, no período de maio à dezembro do corrente ano, dentro do contexto do ensino integral. Essa oferta integrada está alinhada com as diretrizes educacionais e normativas vigentes, considerando o contexto da legislação educacional, especialmente no que se refere ao ensino em tempo integral.</w:t>
      </w:r>
    </w:p>
    <w:p w:rsidR="00000000" w:rsidDel="00000000" w:rsidP="00000000" w:rsidRDefault="00000000" w:rsidRPr="00000000" w14:paraId="0000008D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justificativa para a aprovação da parceria fundamenta-se nas disposições legais, como a Lei nº 13.005/2014 (Plano Nacional de Educação), a Lei nº 14.640/2023 (Programa "Escola Tempo Integral"), e as resoluções pertinentes, que estimulam a ampliação da jornada escolar e a oferta de atividades diversificadas para enriquecer a formação dos estudantes.</w:t>
      </w:r>
    </w:p>
    <w:p w:rsidR="00000000" w:rsidDel="00000000" w:rsidP="00000000" w:rsidRDefault="00000000" w:rsidRPr="00000000" w14:paraId="0000008E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Comissão destaca também a importância da parceria com o Senac-RS, considerando sua expertise na formação profissional e experiência em programas educativos e culturais. A proposta contribui para a integração dessas entidades na promoção de uma educação mais abrangente e alinhada às demandas da sociedade contemporânea.</w:t>
      </w:r>
    </w:p>
    <w:p w:rsidR="00000000" w:rsidDel="00000000" w:rsidP="00000000" w:rsidRDefault="00000000" w:rsidRPr="00000000" w14:paraId="0000008F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Nesse sentido, a Comissão sugere a aprovação da solicitação, destacando a necessidade de inclusão da parceria e suas diretrizes nas Propostas Pedagógicas e Regimentos das escolas envolvidas. Tal medida visa garantir a transparência, a adequação e a integração da proposta no contexto educacional das instituições.</w:t>
      </w:r>
    </w:p>
    <w:p w:rsidR="00000000" w:rsidDel="00000000" w:rsidP="00000000" w:rsidRDefault="00000000" w:rsidRPr="00000000" w14:paraId="00000090">
      <w:pPr>
        <w:spacing w:after="0" w:line="360" w:lineRule="auto"/>
        <w:ind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Assim, esta Comissão recomenda ao Conselho Municipal de Educação a aprovação da parceria a partir da data indicada, confiante de que a oferta integrada enriquecerá a experiência educacional dos estudantes das Escolas Municipais de Ensino Fundamental São Vicente de Paulo, Acácio Antônio Vieira e São João Batista, alinhando-se aos princípios e objetivos estabelecidos nas normativas educacionais vigentes.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Formigueiro - RS, </w:t>
      </w:r>
      <w:r w:rsidDel="00000000" w:rsidR="00000000" w:rsidRPr="00000000">
        <w:rPr>
          <w:rFonts w:ascii="Arial" w:cs="Arial" w:eastAsia="Arial" w:hAnsi="Arial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abril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—-----------------------------------------------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Eloisa machado Carlos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 CME</w:t>
      </w:r>
    </w:p>
    <w:sectPr>
      <w:pgSz w:h="16838" w:w="11906" w:orient="portrait"/>
      <w:pgMar w:bottom="1825.0393700787413" w:top="708.6614173228347" w:left="1700.7874015748032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s1ppyq" w:customStyle="1">
    <w:name w:val="s1ppyq"/>
    <w:basedOn w:val="Fontepargpadro"/>
    <w:rsid w:val="00950F3B"/>
  </w:style>
  <w:style w:type="paragraph" w:styleId="PargrafodaLista">
    <w:name w:val="List Paragraph"/>
    <w:basedOn w:val="Normal"/>
    <w:uiPriority w:val="1"/>
    <w:qFormat w:val="1"/>
    <w:rsid w:val="00421891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D508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D508E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 w:val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D508E9"/>
    <w:rPr>
      <w:rFonts w:ascii="Times New Roman" w:cs="Times New Roman" w:eastAsia="Times New Roman" w:hAnsi="Times New Roman"/>
      <w:sz w:val="20"/>
      <w:szCs w:val="20"/>
      <w:lang w:eastAsia="pt-BR" w:val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508E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508E9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C629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771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771DC"/>
  </w:style>
  <w:style w:type="paragraph" w:styleId="Rodap">
    <w:name w:val="footer"/>
    <w:basedOn w:val="Normal"/>
    <w:link w:val="RodapChar"/>
    <w:uiPriority w:val="99"/>
    <w:unhideWhenUsed w:val="1"/>
    <w:rsid w:val="007771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771DC"/>
  </w:style>
  <w:style w:type="paragraph" w:styleId="NormalWeb">
    <w:name w:val="Normal (Web)"/>
    <w:basedOn w:val="Normal"/>
    <w:uiPriority w:val="99"/>
    <w:semiHidden w:val="1"/>
    <w:unhideWhenUsed w:val="1"/>
    <w:rsid w:val="007771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7771DC"/>
    <w:rPr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7771DC"/>
    <w:rPr>
      <w:b w:val="1"/>
      <w:bCs w:val="1"/>
    </w:rPr>
  </w:style>
  <w:style w:type="paragraph" w:styleId="Corpodetexto">
    <w:name w:val="Body Text"/>
    <w:basedOn w:val="Normal"/>
    <w:link w:val="CorpodetextoChar"/>
    <w:uiPriority w:val="1"/>
    <w:unhideWhenUsed w:val="1"/>
    <w:qFormat w:val="1"/>
    <w:rsid w:val="00AC7148"/>
    <w:pPr>
      <w:widowControl w:val="0"/>
      <w:autoSpaceDE w:val="0"/>
      <w:autoSpaceDN w:val="0"/>
      <w:spacing w:after="0" w:line="240" w:lineRule="auto"/>
    </w:pPr>
    <w:rPr>
      <w:rFonts w:ascii="Tahoma" w:cs="Tahoma" w:eastAsia="Tahoma" w:hAnsi="Tahoma"/>
      <w:sz w:val="24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AC7148"/>
    <w:rPr>
      <w:rFonts w:ascii="Tahoma" w:cs="Tahoma" w:eastAsia="Tahoma" w:hAnsi="Tahoma"/>
      <w:sz w:val="24"/>
      <w:szCs w:val="24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+ntsQHtkHSkGc/pzhCYuGSSMPQ==">CgMxLjAyDmgud3BmazF5dTIzamp5Mg5oLnlobXZ3czlhZm54cDIOaC53bmJpdWE3ejczcGUyDmgubWcxaGZ6Y3lxcWljOAByITFKQ2k2dEF0Nzk2NHhOOEMzeTdJS3dNSHU2V2IwWFU0cQ==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2024-04-09T14:32:00Z</dcterms:created>
  <dc:creator>Usuário do Windows</dc:creator>
</cp:coreProperties>
</file>